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Permanent Marker" w:cs="Permanent Marker" w:eastAsia="Permanent Marker" w:hAnsi="Permanent Marker"/>
          <w:sz w:val="60"/>
          <w:szCs w:val="60"/>
        </w:rPr>
      </w:pPr>
      <w:r w:rsidDel="00000000" w:rsidR="00000000" w:rsidRPr="00000000">
        <w:rPr>
          <w:rFonts w:ascii="Permanent Marker" w:cs="Permanent Marker" w:eastAsia="Permanent Marker" w:hAnsi="Permanent Marker"/>
          <w:sz w:val="60"/>
          <w:szCs w:val="60"/>
          <w:rtl w:val="0"/>
        </w:rPr>
        <w:t xml:space="preserve">HOSA Lettering Requirements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Permanent Marker" w:cs="Permanent Marker" w:eastAsia="Permanent Marker" w:hAnsi="Permanent Marker"/>
          <w:sz w:val="24"/>
          <w:szCs w:val="24"/>
        </w:rPr>
      </w:pPr>
      <w:r w:rsidDel="00000000" w:rsidR="00000000" w:rsidRPr="00000000">
        <w:rPr>
          <w:rFonts w:ascii="Permanent Marker" w:cs="Permanent Marker" w:eastAsia="Permanent Marker" w:hAnsi="Permanent Marker"/>
          <w:sz w:val="24"/>
          <w:szCs w:val="24"/>
          <w:rtl w:val="0"/>
        </w:rPr>
        <w:t xml:space="preserve">(2022-2023)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Must Meet All 3 Requirements to be Considered for Letter: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80% Attendance of Meetings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All fees paid(Dues, State Fees, etc.) through means of scholarship or otherwise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Must gain a total of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250 points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over the course of the year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Automatic Letter for Attending the 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National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Leadership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Points earned through doing the following: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50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95-100% attendance throughout the year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50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having an 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u w:val="single"/>
          <w:rtl w:val="0"/>
        </w:rPr>
        <w:t xml:space="preserve">active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Leadership role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50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each Volunteer Opportunity/Community Outreach performed related to HOSA goals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100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one Guest Speaker or Health Professional brought 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3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per $1 raised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fundraising, reaching a maximum of 150 pts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100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going to the Fall Leadership Conference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360" w:lineRule="auto"/>
        <w:ind w:left="72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100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for attending the State Leadership Conference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360" w:lineRule="auto"/>
        <w:ind w:left="144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Points Awarded for Events and Event Placement: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line="360" w:lineRule="auto"/>
        <w:ind w:left="216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20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per test 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360" w:lineRule="auto"/>
        <w:ind w:left="216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50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Gold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360" w:lineRule="auto"/>
        <w:ind w:left="216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35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Silver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360" w:lineRule="auto"/>
        <w:ind w:left="2160" w:hanging="36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25 pts.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Bronze</w:t>
      </w:r>
    </w:p>
    <w:p w:rsidR="00000000" w:rsidDel="00000000" w:rsidP="00000000" w:rsidRDefault="00000000" w:rsidRPr="00000000" w14:paraId="00000017">
      <w:pPr>
        <w:pageBreakBefore w:val="0"/>
        <w:ind w:left="0" w:firstLine="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